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312</w:t>
      </w:r>
    </w:p>
    <w:p>
      <w:r>
        <w:t>Bundesgericht (BGE), 1975-10-09, DE</w:t>
      </w:r>
    </w:p>
    <w:p>
      <w:r>
        <w:rPr>
          <w:b/>
        </w:rPr>
        <w:t xml:space="preserve">Quelle: </w:t>
      </w:r>
      <w:r>
        <w:t>https://mcp.opencaselaw.ch/entscheid/bge_101 IV 312</w:t>
      </w:r>
    </w:p>
    <w:p>
      <w:r>
        <w:t>FR: ATF 101 IV 312</w:t>
      </w:r>
    </w:p>
    <w:p>
      <w:r>
        <w:t>IT: DTF 101 IV 312</w:t>
      </w:r>
    </w:p>
    <w:p>
      <w:pPr>
        <w:pStyle w:val="Heading2"/>
      </w:pPr>
      <w:r>
        <w:t>Regeste</w:t>
      </w:r>
    </w:p>
    <w:p>
      <w:r>
        <w:t>Regeste Art. 273 StGB. 1. Begriff des wirtschaftlichen Nachrichtendienstes (Erw. 1). 2. Schutzwürdig kann auch ein vertragswidriges Verhalten sein (Erw. 2).</w:t>
      </w:r>
    </w:p>
    <w:p>
      <w:pPr>
        <w:pStyle w:val="Heading2"/>
      </w:pPr>
      <w:r>
        <w:t>Erwägungen</w:t>
      </w:r>
    </w:p>
    <w:p>
      <w:r>
        <w:rPr>
          <w:b/>
        </w:rPr>
        <w:t>E. 1</w:t>
      </w:r>
    </w:p>
    <w:p>
      <w:r>
        <w:t>Des wirtschaftlichen Nachrichtendienstes gemäss Art. 273 StGB macht sich u.a. schuldig, wer ein Fabrikations- oder Geschäftsgeheimnis einer fremden amtlichen Stelle oder einer ausländischen Organisation oder privaten Unternehmung zugänglich macht. Art. 273 ahndet ein Delikt gegen den Staat, wie das schon aus seiner Stellung im 13. Titel des Strafgesetzbuches ersichtlich wird. Der Staat hat ein Interesse daran, dass die unter seiner Gebietshoheit stehenden Personen gegen den Verrat von wirtschaftlichen Belangen geschützt seien. Wer einer fremden amtlichen Stelle oder einer ausländischen Organisation oder privaten Unternehmung oder deren Agenten ein Fabrikations- oder Geschäftsgeheimnis preisgibt, beeinträchtigt schon dadurch die Interessen der nationalen Volkswirtschaft, denn jeder schweizerische Geschäftsbetrieb bildet einen Teil der gesamten schweizerischen Wirtschaft. Der Art. 273 StGB setzt nicht eine unmittelbare Verletzung oder Gefährdung der staatlichen Interessen voraus. Denn in jedem wirtschaftlichen Nachrichtendienst zum Nachteil eines in der Schweiz ansässigen Unternehmens zu Gunsten des Auslands liegt notwendigerweise eine mittelbare Verletzung oder Gefährdung der staatlichen Interessen, was zur Erfüllung des Tatbestandes von Art. 273 genügt ( BGE 98 IV 210 f.). Der Ausdruck "Geschäftsgeheimnis" umfasst alle Tatsachen des wirtschaftlichen Lebens, an deren Geheimhaltung ein schutzwürdiges Interesse besteht ( BGE 98 IV 210 ).</w:t>
      </w:r>
    </w:p>
    <w:p>
      <w:r>
        <w:rPr>
          <w:b/>
        </w:rPr>
        <w:t>E. 2</w:t>
      </w:r>
    </w:p>
    <w:p>
      <w:r>
        <w:t>Der Beschwerdeführer hat ein Geschäftsgeheimnis des A. verraten, indem er der Firma B. Kenntnis gab vom Bezug von Fernsehbestandteilen durch A. in Italien. A. hatte ein Geheimhaltungsinteresse an dieser wirtschaftlichen Tatsache, weil der Warenbezug aus Italien der vertraglichen Alleinbezugsverpflichtung BGE 101 IV 312 S. 314 gegenüber der Firma B. widersprach und weil die im Vergleich zur Firma B. um 40% niedrigeren Preise seines italienischen Lieferanten sein Geschäft überhaupt erst wieder konkurrenzfähig gegenüber seiner schweizerischen Konkurrenz machten. Wie gewichtig das Interesse an der Geheimhaltung war, erweist der Umstand, dass nach dem Verrat die Firma B. die preisgünstigen Lieferungen des C. an A. zu unterbinden vermochte. War aber allein durch die Geheimhaltung der italienischen Bezugsquelle des A. dessen Konkurrenz- und Lebensfähigkeit sicherzustellen, so bestand an jener sowohl für A. selbst wie für die schweizerische Wirtschaft überhaupt ein schutzwürdiges Interesse. Daran ändert der Umstand, dass die Erhaltung der Konkurrenz- und Lebensfähigkeit des Geschäftsbetriebes des A. nur über die Verletzung seines Vertrages mit der Firma B. möglich war, nichts. Denn das schutzwürdige Interesse muss sich nur auf die Geheimhaltung beziehen, unbekümmert darum, ob die Tatsache selbst, um deren Geheimhaltung es geht, legal sei oder nicht. Darum hat das Bundesgericht die Schutzwürdigkeit des Geheimhaltungsinteresses auch bejaht, wenn es sich bei der geheimzuhaltenden Tatsache um im Ausland nicht bloss illegales, sondern sogar strafbares Verhalten handelte (Schmuggel, Devisenvergehen usf.; BGE 65 I 47 und 330, BGE 71 IV 218 , BGE 74 IV 102 ). Erst recht kann die Geheimhaltung einer Tatsache schützenswert sein, wenn sie bloss in einem vertragswidrigen Verhalten besteht, wie im vorliegenden Fall.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